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2761"/>
        <w:tblW w:w="9927" w:type="dxa"/>
        <w:tblLook w:val="0000"/>
      </w:tblPr>
      <w:tblGrid>
        <w:gridCol w:w="811"/>
        <w:gridCol w:w="2268"/>
        <w:gridCol w:w="6848"/>
      </w:tblGrid>
      <w:tr w:rsidR="00FE6243" w:rsidRPr="00AC4D0F" w:rsidTr="00FE6243">
        <w:trPr>
          <w:trHeight w:val="561"/>
        </w:trPr>
        <w:tc>
          <w:tcPr>
            <w:tcW w:w="811" w:type="dxa"/>
            <w:tcBorders>
              <w:top w:val="single" w:sz="4" w:space="0" w:color="auto"/>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b/>
                <w:bCs/>
                <w:kern w:val="0"/>
                <w:sz w:val="28"/>
                <w:szCs w:val="28"/>
              </w:rPr>
            </w:pPr>
            <w:r w:rsidRPr="00AC4D0F">
              <w:rPr>
                <w:rFonts w:ascii="仿宋_GB2312" w:hAnsi="宋体" w:hint="eastAsia"/>
                <w:b/>
                <w:bCs/>
                <w:kern w:val="0"/>
                <w:sz w:val="28"/>
                <w:szCs w:val="28"/>
              </w:rPr>
              <w:t>序号</w:t>
            </w:r>
          </w:p>
        </w:tc>
        <w:tc>
          <w:tcPr>
            <w:tcW w:w="2268" w:type="dxa"/>
            <w:tcBorders>
              <w:top w:val="single" w:sz="4" w:space="0" w:color="auto"/>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b/>
                <w:bCs/>
                <w:kern w:val="0"/>
                <w:sz w:val="28"/>
                <w:szCs w:val="28"/>
              </w:rPr>
            </w:pPr>
            <w:r w:rsidRPr="00AC4D0F">
              <w:rPr>
                <w:rFonts w:ascii="仿宋_GB2312" w:hAnsi="宋体" w:hint="eastAsia"/>
                <w:b/>
                <w:bCs/>
                <w:kern w:val="0"/>
                <w:sz w:val="28"/>
                <w:szCs w:val="28"/>
              </w:rPr>
              <w:t>公务卡结算项目</w:t>
            </w:r>
          </w:p>
        </w:tc>
        <w:tc>
          <w:tcPr>
            <w:tcW w:w="6848" w:type="dxa"/>
            <w:tcBorders>
              <w:top w:val="single" w:sz="4" w:space="0" w:color="auto"/>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b/>
                <w:bCs/>
                <w:kern w:val="0"/>
                <w:sz w:val="28"/>
                <w:szCs w:val="28"/>
              </w:rPr>
            </w:pPr>
            <w:r w:rsidRPr="00AC4D0F">
              <w:rPr>
                <w:rFonts w:ascii="仿宋_GB2312" w:hAnsi="宋体" w:hint="eastAsia"/>
                <w:b/>
                <w:bCs/>
                <w:kern w:val="0"/>
                <w:sz w:val="28"/>
                <w:szCs w:val="28"/>
              </w:rPr>
              <w:t>备</w:t>
            </w:r>
            <w:r>
              <w:rPr>
                <w:rFonts w:ascii="仿宋_GB2312" w:hAnsi="宋体" w:hint="eastAsia"/>
                <w:b/>
                <w:bCs/>
                <w:kern w:val="0"/>
                <w:sz w:val="28"/>
                <w:szCs w:val="28"/>
              </w:rPr>
              <w:t xml:space="preserve">  </w:t>
            </w:r>
            <w:r w:rsidRPr="00AC4D0F">
              <w:rPr>
                <w:rFonts w:ascii="仿宋_GB2312" w:hAnsi="宋体" w:hint="eastAsia"/>
                <w:b/>
                <w:bCs/>
                <w:kern w:val="0"/>
                <w:sz w:val="28"/>
                <w:szCs w:val="28"/>
              </w:rPr>
              <w:t>注</w:t>
            </w:r>
          </w:p>
        </w:tc>
      </w:tr>
      <w:tr w:rsidR="00FE6243" w:rsidRPr="00AC4D0F" w:rsidTr="00FE6243">
        <w:trPr>
          <w:trHeight w:val="698"/>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1</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办公费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指单位购买按财务会计制度规定不符合固定资产确认标准的日常办公用品、书报杂志等支出。</w:t>
            </w:r>
          </w:p>
        </w:tc>
      </w:tr>
      <w:tr w:rsidR="00FE6243" w:rsidRPr="00AC4D0F" w:rsidTr="00FE6243">
        <w:trPr>
          <w:trHeight w:val="409"/>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2</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印刷费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指单位的印刷费支出。</w:t>
            </w:r>
          </w:p>
        </w:tc>
      </w:tr>
      <w:tr w:rsidR="00FE6243" w:rsidRPr="00AC4D0F" w:rsidTr="00FE6243">
        <w:trPr>
          <w:trHeight w:val="414"/>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3</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咨询费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指单位咨询方面的支出。</w:t>
            </w:r>
          </w:p>
        </w:tc>
      </w:tr>
      <w:tr w:rsidR="00FE6243" w:rsidRPr="00AC4D0F" w:rsidTr="00FE6243">
        <w:trPr>
          <w:trHeight w:val="421"/>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4</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手续费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指单位支付的手续费支出。</w:t>
            </w:r>
          </w:p>
        </w:tc>
      </w:tr>
      <w:tr w:rsidR="00FE6243" w:rsidRPr="00AC4D0F" w:rsidTr="00FE6243">
        <w:trPr>
          <w:trHeight w:val="413"/>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5</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水电费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指单位支付的水电费支出。</w:t>
            </w:r>
          </w:p>
        </w:tc>
      </w:tr>
      <w:tr w:rsidR="00FE6243" w:rsidRPr="00AC4D0F" w:rsidTr="00FE6243">
        <w:trPr>
          <w:trHeight w:val="703"/>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6</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邮电费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指单位开支的电话费、电报费、传真费、网络通讯费等支出。</w:t>
            </w:r>
          </w:p>
        </w:tc>
      </w:tr>
      <w:tr w:rsidR="00FE6243" w:rsidRPr="00AC4D0F" w:rsidTr="00FE6243">
        <w:trPr>
          <w:trHeight w:val="710"/>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7</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物业管理费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指单位开支的办公用房、职工及离退休人员宿舍等的物业管理费，包括综合治理、绿化、卫生等方面的支出。</w:t>
            </w:r>
          </w:p>
        </w:tc>
      </w:tr>
      <w:tr w:rsidR="00FE6243" w:rsidRPr="00AC4D0F" w:rsidTr="00FE6243">
        <w:trPr>
          <w:trHeight w:val="553"/>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8</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差旅费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spacing w:val="-6"/>
                <w:kern w:val="0"/>
                <w:sz w:val="28"/>
                <w:szCs w:val="28"/>
              </w:rPr>
            </w:pPr>
            <w:r w:rsidRPr="00AC4D0F">
              <w:rPr>
                <w:rFonts w:ascii="仿宋_GB2312" w:hAnsi="宋体" w:hint="eastAsia"/>
                <w:spacing w:val="-6"/>
                <w:kern w:val="0"/>
                <w:sz w:val="28"/>
                <w:szCs w:val="28"/>
              </w:rPr>
              <w:t>指单位工作人员因出差支付的住宿费、购买机票支出等。</w:t>
            </w:r>
          </w:p>
        </w:tc>
      </w:tr>
      <w:tr w:rsidR="00FE6243" w:rsidRPr="00AC4D0F" w:rsidTr="00FE6243">
        <w:trPr>
          <w:trHeight w:val="674"/>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9</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维修（护）费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指单位日常开支的固定资产（不包括车船等交通工具）修理和维护费用，网络信息系统运行与维护费用。</w:t>
            </w:r>
          </w:p>
        </w:tc>
      </w:tr>
      <w:tr w:rsidR="00FE6243" w:rsidRPr="00AC4D0F" w:rsidTr="00FE6243">
        <w:trPr>
          <w:trHeight w:val="704"/>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10</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租赁费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指租赁办公用房、宿舍、专用通讯网以及其他设备等方面的费用。</w:t>
            </w:r>
          </w:p>
        </w:tc>
      </w:tr>
      <w:tr w:rsidR="00FE6243" w:rsidRPr="00AC4D0F" w:rsidTr="00FE6243">
        <w:trPr>
          <w:trHeight w:val="722"/>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11</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会议费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指会议中按规定开支的房租费、伙食补助费以及文件资料的印刷费、会议场地租用费等。</w:t>
            </w:r>
          </w:p>
        </w:tc>
      </w:tr>
      <w:tr w:rsidR="00FE6243" w:rsidRPr="00AC4D0F" w:rsidTr="00FE6243">
        <w:trPr>
          <w:trHeight w:val="510"/>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12</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培训费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指各类培训支出。</w:t>
            </w:r>
          </w:p>
        </w:tc>
      </w:tr>
      <w:tr w:rsidR="00FE6243" w:rsidRPr="00AC4D0F" w:rsidTr="00FE6243">
        <w:trPr>
          <w:trHeight w:val="457"/>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13</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公务接待费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指单位按规定开支的各类公务接待（含外宾接待）费用。</w:t>
            </w:r>
          </w:p>
        </w:tc>
      </w:tr>
      <w:tr w:rsidR="00FE6243" w:rsidRPr="00AC4D0F" w:rsidTr="00FE6243">
        <w:trPr>
          <w:trHeight w:val="1531"/>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14</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专用材料费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color w:val="FF0000"/>
                <w:kern w:val="0"/>
                <w:sz w:val="28"/>
                <w:szCs w:val="28"/>
              </w:rPr>
            </w:pPr>
            <w:r w:rsidRPr="00AC4D0F">
              <w:rPr>
                <w:rFonts w:ascii="仿宋_GB2312" w:hAnsi="宋体" w:hint="eastAsia"/>
                <w:kern w:val="0"/>
                <w:sz w:val="28"/>
                <w:szCs w:val="28"/>
              </w:rPr>
              <w:t>指单位购买日常专用材料的支出，具体包括药品及医疗耗材、农用材料、兽医用品、实验室用品、专用服装、消耗性体育用品、专用工具和仪器、艺术部门专用材料和用品、广播电视台发射台发射机的电力与材料等方面的支出。</w:t>
            </w:r>
          </w:p>
        </w:tc>
      </w:tr>
      <w:tr w:rsidR="00FE6243" w:rsidRPr="00AC4D0F" w:rsidTr="00FE6243">
        <w:trPr>
          <w:trHeight w:val="704"/>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15</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公务用车运行</w:t>
            </w:r>
          </w:p>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维护费</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指公务用车的燃料费、维修费、保险费等支出。</w:t>
            </w:r>
          </w:p>
        </w:tc>
      </w:tr>
      <w:tr w:rsidR="00FE6243" w:rsidRPr="00AC4D0F" w:rsidTr="00FE6243">
        <w:trPr>
          <w:trHeight w:val="711"/>
        </w:trPr>
        <w:tc>
          <w:tcPr>
            <w:tcW w:w="811" w:type="dxa"/>
            <w:tcBorders>
              <w:top w:val="nil"/>
              <w:left w:val="single" w:sz="4" w:space="0" w:color="auto"/>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16</w:t>
            </w:r>
          </w:p>
        </w:tc>
        <w:tc>
          <w:tcPr>
            <w:tcW w:w="226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center"/>
              <w:rPr>
                <w:rFonts w:ascii="仿宋_GB2312" w:hAnsi="宋体" w:hint="eastAsia"/>
                <w:kern w:val="0"/>
                <w:sz w:val="28"/>
                <w:szCs w:val="28"/>
              </w:rPr>
            </w:pPr>
            <w:r w:rsidRPr="00AC4D0F">
              <w:rPr>
                <w:rFonts w:ascii="仿宋_GB2312" w:hAnsi="宋体" w:hint="eastAsia"/>
                <w:kern w:val="0"/>
                <w:sz w:val="28"/>
                <w:szCs w:val="28"/>
              </w:rPr>
              <w:t>其他交通费用</w:t>
            </w:r>
          </w:p>
        </w:tc>
        <w:tc>
          <w:tcPr>
            <w:tcW w:w="6848" w:type="dxa"/>
            <w:tcBorders>
              <w:top w:val="nil"/>
              <w:left w:val="nil"/>
              <w:bottom w:val="single" w:sz="4" w:space="0" w:color="auto"/>
              <w:right w:val="single" w:sz="4" w:space="0" w:color="auto"/>
            </w:tcBorders>
            <w:vAlign w:val="center"/>
          </w:tcPr>
          <w:p w:rsidR="00FE6243" w:rsidRPr="00AC4D0F" w:rsidRDefault="00FE6243" w:rsidP="00FE6243">
            <w:pPr>
              <w:widowControl/>
              <w:adjustRightInd w:val="0"/>
              <w:snapToGrid w:val="0"/>
              <w:spacing w:line="280" w:lineRule="exact"/>
              <w:jc w:val="left"/>
              <w:rPr>
                <w:rFonts w:ascii="仿宋_GB2312" w:hAnsi="宋体" w:hint="eastAsia"/>
                <w:kern w:val="0"/>
                <w:sz w:val="28"/>
                <w:szCs w:val="28"/>
              </w:rPr>
            </w:pPr>
            <w:r w:rsidRPr="00AC4D0F">
              <w:rPr>
                <w:rFonts w:ascii="仿宋_GB2312" w:hAnsi="宋体" w:hint="eastAsia"/>
                <w:kern w:val="0"/>
                <w:sz w:val="28"/>
                <w:szCs w:val="28"/>
              </w:rPr>
              <w:t>指单位除公务用车运行维护费以外的其他交通费用，如飞机、船舶等的燃料费、维修费、保险费等。</w:t>
            </w:r>
          </w:p>
        </w:tc>
      </w:tr>
    </w:tbl>
    <w:p w:rsidR="003A3A16" w:rsidRPr="00FE6243" w:rsidRDefault="00FE6243" w:rsidP="00FE6243">
      <w:pPr>
        <w:jc w:val="center"/>
      </w:pPr>
      <w:r w:rsidRPr="0042630F">
        <w:rPr>
          <w:rFonts w:ascii="华文中宋" w:eastAsia="华文中宋" w:hAnsi="华文中宋" w:hint="eastAsia"/>
          <w:sz w:val="44"/>
          <w:szCs w:val="44"/>
        </w:rPr>
        <w:t>东北林业大学公务卡强制结算目录</w:t>
      </w:r>
    </w:p>
    <w:sectPr w:rsidR="003A3A16" w:rsidRPr="00FE62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A16" w:rsidRDefault="003A3A16" w:rsidP="00FE6243">
      <w:r>
        <w:separator/>
      </w:r>
    </w:p>
  </w:endnote>
  <w:endnote w:type="continuationSeparator" w:id="1">
    <w:p w:rsidR="003A3A16" w:rsidRDefault="003A3A16" w:rsidP="00FE62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A16" w:rsidRDefault="003A3A16" w:rsidP="00FE6243">
      <w:r>
        <w:separator/>
      </w:r>
    </w:p>
  </w:footnote>
  <w:footnote w:type="continuationSeparator" w:id="1">
    <w:p w:rsidR="003A3A16" w:rsidRDefault="003A3A16" w:rsidP="00FE62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243"/>
    <w:rsid w:val="003A3A16"/>
    <w:rsid w:val="00FE6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4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62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E6243"/>
    <w:rPr>
      <w:sz w:val="18"/>
      <w:szCs w:val="18"/>
    </w:rPr>
  </w:style>
  <w:style w:type="paragraph" w:styleId="a4">
    <w:name w:val="footer"/>
    <w:basedOn w:val="a"/>
    <w:link w:val="Char0"/>
    <w:uiPriority w:val="99"/>
    <w:semiHidden/>
    <w:unhideWhenUsed/>
    <w:rsid w:val="00FE62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E624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Company>Microsoft</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2016-12-16T05:39:00Z</dcterms:created>
  <dcterms:modified xsi:type="dcterms:W3CDTF">2016-12-16T05:39:00Z</dcterms:modified>
</cp:coreProperties>
</file>